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DC2EAC" w:rsidTr="009B5AB7">
        <w:trPr>
          <w:trHeight w:val="972"/>
        </w:trPr>
        <w:tc>
          <w:tcPr>
            <w:tcW w:w="9778" w:type="dxa"/>
          </w:tcPr>
          <w:p w:rsidR="00765C79" w:rsidRDefault="00DC2EAC" w:rsidP="009B5AB7">
            <w:pPr>
              <w:spacing w:after="0"/>
              <w:jc w:val="center"/>
              <w:outlineLvl w:val="1"/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</w:pPr>
            <w:r w:rsidRPr="00765C79"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  <w:t xml:space="preserve">INFORMATIVA </w:t>
            </w:r>
            <w:r w:rsidR="00950CD8"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  <w:t>IMU</w:t>
            </w:r>
          </w:p>
          <w:p w:rsidR="00DC2EAC" w:rsidRPr="00765C79" w:rsidRDefault="00525C0C" w:rsidP="00757370">
            <w:pPr>
              <w:spacing w:after="0"/>
              <w:jc w:val="center"/>
              <w:outlineLvl w:val="1"/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</w:pPr>
            <w:r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  <w:t>ANNO 202</w:t>
            </w:r>
            <w:r w:rsidR="00830B7B">
              <w:rPr>
                <w:rFonts w:ascii="Tahoma" w:hAnsi="Tahoma" w:cs="Tahoma"/>
                <w:b/>
                <w:bCs/>
                <w:caps/>
                <w:color w:val="000000" w:themeColor="text1"/>
                <w:kern w:val="36"/>
                <w:sz w:val="28"/>
                <w:szCs w:val="28"/>
              </w:rPr>
              <w:t>4</w:t>
            </w:r>
          </w:p>
          <w:p w:rsidR="0037249B" w:rsidRPr="005612D8" w:rsidRDefault="00950CD8" w:rsidP="009B5AB7">
            <w:pPr>
              <w:spacing w:after="0" w:line="240" w:lineRule="auto"/>
              <w:jc w:val="center"/>
              <w:outlineLvl w:val="1"/>
              <w:rPr>
                <w:rFonts w:ascii="Tahoma" w:hAnsi="Tahoma" w:cs="Tahoma"/>
                <w:bCs/>
                <w:caps/>
                <w:color w:val="000000" w:themeColor="text1"/>
                <w:kern w:val="36"/>
                <w:sz w:val="16"/>
                <w:szCs w:val="16"/>
              </w:rPr>
            </w:pPr>
            <w:r>
              <w:rPr>
                <w:rFonts w:ascii="Tahoma" w:hAnsi="Tahoma" w:cs="Tahoma"/>
                <w:bCs/>
                <w:caps/>
                <w:color w:val="000000" w:themeColor="text1"/>
                <w:kern w:val="36"/>
                <w:sz w:val="16"/>
                <w:szCs w:val="16"/>
              </w:rPr>
              <w:t>(L. n. 160 del 27 dicembre 2019)</w:t>
            </w:r>
          </w:p>
        </w:tc>
      </w:tr>
    </w:tbl>
    <w:p w:rsidR="0037249B" w:rsidRPr="000D258D" w:rsidRDefault="0037249B" w:rsidP="00DC2EAC">
      <w:pPr>
        <w:spacing w:after="0"/>
        <w:jc w:val="left"/>
        <w:rPr>
          <w:rFonts w:ascii="Tahoma" w:hAnsi="Tahoma" w:cs="Tahoma"/>
          <w:b/>
          <w:color w:val="0000FF"/>
          <w:sz w:val="8"/>
          <w:szCs w:val="8"/>
          <w:u w:val="single"/>
        </w:rPr>
      </w:pPr>
    </w:p>
    <w:p w:rsidR="00AA7333" w:rsidRDefault="00AA7333" w:rsidP="00AA7333">
      <w:pPr>
        <w:spacing w:after="0"/>
        <w:jc w:val="center"/>
        <w:rPr>
          <w:rFonts w:ascii="Tahoma" w:hAnsi="Tahoma" w:cs="Tahoma"/>
          <w:b/>
          <w:color w:val="FF0000"/>
          <w:sz w:val="16"/>
          <w:szCs w:val="16"/>
          <w:u w:val="single"/>
        </w:rPr>
      </w:pPr>
    </w:p>
    <w:p w:rsidR="00CA247B" w:rsidRPr="005612D8" w:rsidRDefault="00CA247B" w:rsidP="00CA247B">
      <w:pPr>
        <w:spacing w:after="0"/>
        <w:jc w:val="left"/>
        <w:rPr>
          <w:rFonts w:ascii="Tahoma" w:hAnsi="Tahoma" w:cs="Tahoma"/>
          <w:color w:val="0000FF"/>
        </w:rPr>
      </w:pPr>
      <w:r w:rsidRPr="005612D8">
        <w:rPr>
          <w:rFonts w:ascii="Tahoma" w:hAnsi="Tahoma" w:cs="Tahoma"/>
          <w:b/>
          <w:color w:val="0000FF"/>
          <w:u w:val="single"/>
        </w:rPr>
        <w:t>SCADENZE</w:t>
      </w:r>
      <w:r w:rsidRPr="005612D8">
        <w:rPr>
          <w:rFonts w:ascii="Tahoma" w:hAnsi="Tahoma" w:cs="Tahoma"/>
          <w:color w:val="0000FF"/>
        </w:rPr>
        <w:t>:</w:t>
      </w:r>
    </w:p>
    <w:p w:rsidR="00CA247B" w:rsidRPr="005612D8" w:rsidRDefault="00CA247B" w:rsidP="00CA247B">
      <w:pPr>
        <w:spacing w:after="0"/>
        <w:rPr>
          <w:rFonts w:ascii="Tahoma" w:hAnsi="Tahoma" w:cs="Tahoma"/>
        </w:rPr>
      </w:pPr>
      <w:r w:rsidRPr="005612D8">
        <w:rPr>
          <w:rFonts w:ascii="Tahoma" w:hAnsi="Tahoma" w:cs="Tahoma"/>
        </w:rPr>
        <w:t>Le scadenze per il versamento sono:</w:t>
      </w:r>
    </w:p>
    <w:p w:rsidR="00CA247B" w:rsidRPr="005612D8" w:rsidRDefault="00CA247B" w:rsidP="00CA247B">
      <w:pPr>
        <w:pStyle w:val="Paragrafoelenco"/>
        <w:numPr>
          <w:ilvl w:val="0"/>
          <w:numId w:val="2"/>
        </w:numPr>
        <w:spacing w:after="0"/>
        <w:ind w:left="142" w:hanging="142"/>
        <w:rPr>
          <w:rFonts w:ascii="Tahoma" w:hAnsi="Tahoma" w:cs="Tahoma"/>
        </w:rPr>
      </w:pPr>
      <w:r w:rsidRPr="005612D8">
        <w:rPr>
          <w:rFonts w:ascii="Tahoma" w:hAnsi="Tahoma" w:cs="Tahoma"/>
        </w:rPr>
        <w:t xml:space="preserve">Acconto o rata unica entro il </w:t>
      </w:r>
      <w:r w:rsidRPr="005612D8">
        <w:rPr>
          <w:rFonts w:ascii="Tahoma" w:hAnsi="Tahoma" w:cs="Tahoma"/>
          <w:b/>
        </w:rPr>
        <w:t>1</w:t>
      </w:r>
      <w:r w:rsidR="00002562">
        <w:rPr>
          <w:rFonts w:ascii="Tahoma" w:hAnsi="Tahoma" w:cs="Tahoma"/>
          <w:b/>
        </w:rPr>
        <w:t>7 GIUGNO 2024</w:t>
      </w:r>
    </w:p>
    <w:p w:rsidR="00CA247B" w:rsidRPr="00CA247B" w:rsidRDefault="00CA247B" w:rsidP="00CA247B">
      <w:pPr>
        <w:pStyle w:val="Paragrafoelenco"/>
        <w:numPr>
          <w:ilvl w:val="0"/>
          <w:numId w:val="2"/>
        </w:numPr>
        <w:spacing w:after="0"/>
        <w:ind w:left="142" w:hanging="142"/>
        <w:rPr>
          <w:rFonts w:ascii="Tahoma" w:hAnsi="Tahoma" w:cs="Tahoma"/>
        </w:rPr>
      </w:pPr>
      <w:r w:rsidRPr="005612D8">
        <w:rPr>
          <w:rFonts w:ascii="Tahoma" w:eastAsia="Times New Roman" w:hAnsi="Tahoma" w:cs="Tahoma"/>
          <w:bCs/>
        </w:rPr>
        <w:t xml:space="preserve">Saldo entro il </w:t>
      </w:r>
      <w:r w:rsidRPr="005612D8">
        <w:rPr>
          <w:rFonts w:ascii="Tahoma" w:eastAsia="Times New Roman" w:hAnsi="Tahoma" w:cs="Tahoma"/>
          <w:b/>
        </w:rPr>
        <w:t>1</w:t>
      </w:r>
      <w:r w:rsidR="00714740">
        <w:rPr>
          <w:rFonts w:ascii="Tahoma" w:eastAsia="Times New Roman" w:hAnsi="Tahoma" w:cs="Tahoma"/>
          <w:b/>
        </w:rPr>
        <w:t>8</w:t>
      </w:r>
      <w:r w:rsidRPr="005612D8">
        <w:rPr>
          <w:rFonts w:ascii="Tahoma" w:eastAsia="Times New Roman" w:hAnsi="Tahoma" w:cs="Tahoma"/>
          <w:b/>
        </w:rPr>
        <w:t xml:space="preserve"> DICEMBRE 20</w:t>
      </w:r>
      <w:r w:rsidR="00002562">
        <w:rPr>
          <w:rFonts w:ascii="Tahoma" w:eastAsia="Times New Roman" w:hAnsi="Tahoma" w:cs="Tahoma"/>
          <w:b/>
        </w:rPr>
        <w:t>24</w:t>
      </w:r>
    </w:p>
    <w:p w:rsidR="00CA247B" w:rsidRPr="009B5AB7" w:rsidRDefault="00CA247B" w:rsidP="00CA247B">
      <w:pPr>
        <w:spacing w:after="0"/>
        <w:rPr>
          <w:rFonts w:ascii="Tahoma" w:hAnsi="Tahoma" w:cs="Tahoma"/>
          <w:sz w:val="16"/>
          <w:szCs w:val="16"/>
        </w:rPr>
      </w:pPr>
    </w:p>
    <w:p w:rsidR="00CA247B" w:rsidRPr="00B10355" w:rsidRDefault="00CA247B" w:rsidP="00CA247B">
      <w:pPr>
        <w:spacing w:after="0"/>
        <w:rPr>
          <w:rFonts w:ascii="Tahoma" w:hAnsi="Tahoma" w:cs="Tahoma"/>
          <w:lang w:eastAsia="en-US"/>
        </w:rPr>
      </w:pPr>
      <w:r>
        <w:rPr>
          <w:rFonts w:ascii="Tahoma" w:hAnsi="Tahoma" w:cs="Tahoma"/>
          <w:u w:val="single"/>
          <w:lang w:eastAsia="en-US"/>
        </w:rPr>
        <w:t>Anche p</w:t>
      </w:r>
      <w:r w:rsidRPr="00B10355">
        <w:rPr>
          <w:rFonts w:ascii="Tahoma" w:hAnsi="Tahoma" w:cs="Tahoma"/>
          <w:u w:val="single"/>
          <w:lang w:eastAsia="en-US"/>
        </w:rPr>
        <w:t>er l’anno 202</w:t>
      </w:r>
      <w:r w:rsidR="00002562">
        <w:rPr>
          <w:rFonts w:ascii="Tahoma" w:hAnsi="Tahoma" w:cs="Tahoma"/>
          <w:u w:val="single"/>
          <w:lang w:eastAsia="en-US"/>
        </w:rPr>
        <w:t>4</w:t>
      </w:r>
      <w:r w:rsidRPr="00B10355">
        <w:rPr>
          <w:rFonts w:ascii="Tahoma" w:hAnsi="Tahoma" w:cs="Tahoma"/>
          <w:lang w:eastAsia="en-US"/>
        </w:rPr>
        <w:t>, l’Ufficio Tributi del Comune di Azzate, sarà disponibile per la preparazione del calcolo IMU 202</w:t>
      </w:r>
      <w:r w:rsidR="00002562">
        <w:rPr>
          <w:rFonts w:ascii="Tahoma" w:hAnsi="Tahoma" w:cs="Tahoma"/>
          <w:lang w:eastAsia="en-US"/>
        </w:rPr>
        <w:t>4</w:t>
      </w:r>
      <w:r w:rsidRPr="00B10355">
        <w:rPr>
          <w:rFonts w:ascii="Tahoma" w:hAnsi="Tahoma" w:cs="Tahoma"/>
          <w:lang w:eastAsia="en-US"/>
        </w:rPr>
        <w:t>, per gli immobili posseduti nel territorio comunale con:</w:t>
      </w:r>
    </w:p>
    <w:p w:rsidR="00CA247B" w:rsidRPr="00213905" w:rsidRDefault="00CA247B" w:rsidP="00CA247B">
      <w:pPr>
        <w:pStyle w:val="Paragrafoelenco"/>
        <w:numPr>
          <w:ilvl w:val="0"/>
          <w:numId w:val="2"/>
        </w:numPr>
        <w:spacing w:after="0"/>
        <w:ind w:left="284" w:hanging="284"/>
        <w:rPr>
          <w:rFonts w:ascii="Tahoma" w:hAnsi="Tahoma" w:cs="Tahoma"/>
          <w:lang w:eastAsia="en-US"/>
        </w:rPr>
      </w:pPr>
      <w:r w:rsidRPr="00213905">
        <w:rPr>
          <w:rFonts w:ascii="Tahoma" w:hAnsi="Tahoma" w:cs="Tahoma"/>
          <w:lang w:eastAsia="en-US"/>
        </w:rPr>
        <w:t xml:space="preserve">richiesta via e-mail a </w:t>
      </w:r>
      <w:r w:rsidRPr="00213905">
        <w:rPr>
          <w:rFonts w:ascii="Tahoma" w:hAnsi="Tahoma" w:cs="Tahoma"/>
          <w:b/>
          <w:color w:val="0070C0"/>
          <w:lang w:eastAsia="en-US"/>
        </w:rPr>
        <w:t>tributi@comune.azzate.va.it</w:t>
      </w:r>
      <w:r w:rsidRPr="00213905">
        <w:rPr>
          <w:rFonts w:ascii="Tahoma" w:hAnsi="Tahoma" w:cs="Tahoma"/>
          <w:lang w:eastAsia="en-US"/>
        </w:rPr>
        <w:t xml:space="preserve">, utilizzando l’apposito modulo di richiesta disponibile sulla home del sito del Comune di Azzate </w:t>
      </w:r>
      <w:hyperlink r:id="rId9" w:history="1">
        <w:r w:rsidRPr="00213905">
          <w:rPr>
            <w:rStyle w:val="Collegamentoipertestuale"/>
            <w:rFonts w:ascii="Tahoma" w:eastAsia="Times New Roman" w:hAnsi="Tahoma" w:cs="Tahoma"/>
            <w:b/>
            <w:color w:val="0070C0"/>
            <w:lang w:eastAsia="en-US"/>
          </w:rPr>
          <w:t>www.comune.azzate.va.it</w:t>
        </w:r>
      </w:hyperlink>
      <w:r w:rsidRPr="00213905">
        <w:rPr>
          <w:rFonts w:ascii="Tahoma" w:hAnsi="Tahoma" w:cs="Tahoma"/>
          <w:lang w:eastAsia="en-US"/>
        </w:rPr>
        <w:t>.</w:t>
      </w:r>
    </w:p>
    <w:p w:rsidR="00CA247B" w:rsidRPr="00213905" w:rsidRDefault="00CA247B" w:rsidP="00CA247B">
      <w:pPr>
        <w:pStyle w:val="Paragrafoelenco"/>
        <w:numPr>
          <w:ilvl w:val="0"/>
          <w:numId w:val="2"/>
        </w:numPr>
        <w:spacing w:after="0"/>
        <w:ind w:left="284" w:hanging="284"/>
        <w:rPr>
          <w:rFonts w:ascii="Tahoma" w:hAnsi="Tahoma" w:cs="Tahoma"/>
          <w:lang w:eastAsia="en-US"/>
        </w:rPr>
      </w:pPr>
      <w:r w:rsidRPr="00213905">
        <w:rPr>
          <w:rFonts w:ascii="Tahoma" w:hAnsi="Tahoma" w:cs="Tahoma"/>
          <w:lang w:eastAsia="en-US"/>
        </w:rPr>
        <w:t>appuntamento telefonando al n.</w:t>
      </w:r>
      <w:r w:rsidR="00002562" w:rsidRPr="00213905">
        <w:rPr>
          <w:rFonts w:ascii="Tahoma" w:hAnsi="Tahoma" w:cs="Tahoma"/>
          <w:lang w:eastAsia="en-US"/>
        </w:rPr>
        <w:t xml:space="preserve"> 0332-456342 nei seguenti orari:</w:t>
      </w:r>
    </w:p>
    <w:p w:rsidR="00CA247B" w:rsidRPr="00B10355" w:rsidRDefault="00CA247B" w:rsidP="00CA247B">
      <w:pPr>
        <w:pStyle w:val="Paragrafoelenco"/>
        <w:numPr>
          <w:ilvl w:val="0"/>
          <w:numId w:val="2"/>
        </w:numPr>
        <w:tabs>
          <w:tab w:val="left" w:pos="993"/>
        </w:tabs>
        <w:spacing w:after="0"/>
        <w:ind w:left="567" w:hanging="283"/>
        <w:rPr>
          <w:rFonts w:ascii="Tahoma" w:eastAsia="Times New Roman" w:hAnsi="Tahoma" w:cs="Tahoma"/>
          <w:lang w:eastAsia="en-US"/>
        </w:rPr>
      </w:pPr>
      <w:r w:rsidRPr="00B10355">
        <w:rPr>
          <w:rFonts w:ascii="Tahoma" w:eastAsia="Times New Roman" w:hAnsi="Tahoma" w:cs="Tahoma"/>
          <w:lang w:eastAsia="en-US"/>
        </w:rPr>
        <w:t>martedì dalle ore 09.00 alle ore 11.00</w:t>
      </w:r>
    </w:p>
    <w:p w:rsidR="00CA247B" w:rsidRDefault="00CA247B" w:rsidP="00CA247B">
      <w:pPr>
        <w:pStyle w:val="Paragrafoelenco"/>
        <w:numPr>
          <w:ilvl w:val="0"/>
          <w:numId w:val="2"/>
        </w:numPr>
        <w:tabs>
          <w:tab w:val="left" w:pos="993"/>
        </w:tabs>
        <w:ind w:left="567" w:hanging="283"/>
        <w:rPr>
          <w:rFonts w:ascii="Tahoma" w:eastAsia="Times New Roman" w:hAnsi="Tahoma" w:cs="Tahoma"/>
          <w:lang w:eastAsia="en-US"/>
        </w:rPr>
      </w:pPr>
      <w:r w:rsidRPr="00B10355">
        <w:rPr>
          <w:rFonts w:ascii="Tahoma" w:eastAsia="Times New Roman" w:hAnsi="Tahoma" w:cs="Tahoma"/>
          <w:lang w:eastAsia="en-US"/>
        </w:rPr>
        <w:t>giovedì dalle ore  09.00 alle ore 11.00</w:t>
      </w:r>
    </w:p>
    <w:p w:rsidR="00CA247B" w:rsidRPr="005612D8" w:rsidRDefault="00CA247B" w:rsidP="00CA247B">
      <w:pPr>
        <w:spacing w:after="0"/>
      </w:pPr>
      <w:r w:rsidRPr="005612D8">
        <w:rPr>
          <w:rFonts w:ascii="Tahoma" w:hAnsi="Tahoma" w:cs="Tahoma"/>
          <w:b/>
          <w:u w:val="single"/>
        </w:rPr>
        <w:t>Si ricorda che sul sito web del Comune Azzate</w:t>
      </w:r>
      <w:r w:rsidRPr="005612D8">
        <w:rPr>
          <w:rFonts w:ascii="Tahoma" w:hAnsi="Tahoma" w:cs="Tahoma"/>
          <w:b/>
        </w:rPr>
        <w:t xml:space="preserve"> </w:t>
      </w:r>
      <w:hyperlink r:id="rId10" w:history="1">
        <w:r w:rsidRPr="005612D8">
          <w:rPr>
            <w:rStyle w:val="Collegamentoipertestuale"/>
            <w:rFonts w:ascii="Tahoma" w:eastAsia="Times New Roman" w:hAnsi="Tahoma" w:cs="Tahoma"/>
            <w:b/>
            <w:color w:val="0070C0"/>
            <w:lang w:eastAsia="en-US"/>
          </w:rPr>
          <w:t>www.comune.azzate.va.it</w:t>
        </w:r>
      </w:hyperlink>
      <w:r w:rsidRPr="005612D8">
        <w:t>:</w:t>
      </w:r>
    </w:p>
    <w:p w:rsidR="00CA247B" w:rsidRPr="00B10355" w:rsidRDefault="00CA247B" w:rsidP="00CA247B">
      <w:pPr>
        <w:pStyle w:val="Paragrafoelenco"/>
        <w:numPr>
          <w:ilvl w:val="0"/>
          <w:numId w:val="2"/>
        </w:numPr>
        <w:spacing w:after="0"/>
        <w:ind w:left="284" w:hanging="284"/>
        <w:rPr>
          <w:rFonts w:ascii="Tahoma" w:hAnsi="Tahoma" w:cs="Tahoma"/>
          <w:b/>
          <w:sz w:val="20"/>
          <w:szCs w:val="20"/>
        </w:rPr>
      </w:pPr>
      <w:r w:rsidRPr="00B10355">
        <w:rPr>
          <w:rFonts w:ascii="Tahoma" w:hAnsi="Tahoma" w:cs="Tahoma"/>
          <w:b/>
          <w:sz w:val="20"/>
          <w:szCs w:val="20"/>
        </w:rPr>
        <w:t>è pubblicata l’informativa I</w:t>
      </w:r>
      <w:r w:rsidR="00002562">
        <w:rPr>
          <w:rFonts w:ascii="Tahoma" w:hAnsi="Tahoma" w:cs="Tahoma"/>
          <w:b/>
          <w:sz w:val="20"/>
          <w:szCs w:val="20"/>
        </w:rPr>
        <w:t>MU</w:t>
      </w:r>
      <w:r w:rsidRPr="00B10355">
        <w:rPr>
          <w:rFonts w:ascii="Tahoma" w:hAnsi="Tahoma" w:cs="Tahoma"/>
          <w:b/>
          <w:sz w:val="20"/>
          <w:szCs w:val="20"/>
        </w:rPr>
        <w:t xml:space="preserve"> anno 202</w:t>
      </w:r>
      <w:r w:rsidR="00002562">
        <w:rPr>
          <w:rFonts w:ascii="Tahoma" w:hAnsi="Tahoma" w:cs="Tahoma"/>
          <w:b/>
          <w:sz w:val="20"/>
          <w:szCs w:val="20"/>
        </w:rPr>
        <w:t>4</w:t>
      </w:r>
    </w:p>
    <w:p w:rsidR="00CA247B" w:rsidRPr="00B10355" w:rsidRDefault="00CA247B" w:rsidP="00CA247B">
      <w:pPr>
        <w:pStyle w:val="Paragrafoelenco"/>
        <w:numPr>
          <w:ilvl w:val="0"/>
          <w:numId w:val="2"/>
        </w:numPr>
        <w:spacing w:after="0"/>
        <w:ind w:left="284" w:hanging="284"/>
        <w:rPr>
          <w:rFonts w:ascii="Tahoma" w:hAnsi="Tahoma" w:cs="Tahoma"/>
          <w:b/>
          <w:sz w:val="20"/>
          <w:szCs w:val="20"/>
          <w:u w:val="single"/>
        </w:rPr>
      </w:pPr>
      <w:r w:rsidRPr="00B10355">
        <w:rPr>
          <w:rFonts w:ascii="Tahoma" w:hAnsi="Tahoma" w:cs="Tahoma"/>
          <w:b/>
          <w:sz w:val="20"/>
          <w:szCs w:val="20"/>
        </w:rPr>
        <w:t>è disponibile il modulo per la richiesta del conteggio</w:t>
      </w:r>
      <w:r>
        <w:rPr>
          <w:rFonts w:ascii="Tahoma" w:hAnsi="Tahoma" w:cs="Tahoma"/>
          <w:b/>
          <w:sz w:val="20"/>
          <w:szCs w:val="20"/>
        </w:rPr>
        <w:t xml:space="preserve">, </w:t>
      </w:r>
      <w:r w:rsidRPr="00B10355">
        <w:rPr>
          <w:rFonts w:ascii="Tahoma" w:hAnsi="Tahoma" w:cs="Tahoma"/>
          <w:b/>
          <w:sz w:val="20"/>
          <w:szCs w:val="20"/>
          <w:u w:val="single"/>
        </w:rPr>
        <w:t>tutte le consulenze e i conteggi verranno resi via e-mail,  e per i casi eccezionali</w:t>
      </w:r>
      <w:r w:rsidR="00830B7B">
        <w:rPr>
          <w:rFonts w:ascii="Tahoma" w:hAnsi="Tahoma" w:cs="Tahoma"/>
          <w:b/>
          <w:sz w:val="20"/>
          <w:szCs w:val="20"/>
          <w:u w:val="single"/>
        </w:rPr>
        <w:t>,</w:t>
      </w:r>
      <w:r w:rsidRPr="00B10355">
        <w:rPr>
          <w:rFonts w:ascii="Tahoma" w:hAnsi="Tahoma" w:cs="Tahoma"/>
          <w:b/>
          <w:sz w:val="20"/>
          <w:szCs w:val="20"/>
          <w:u w:val="single"/>
        </w:rPr>
        <w:t xml:space="preserve"> su appuntamento.</w:t>
      </w:r>
    </w:p>
    <w:p w:rsidR="00CA247B" w:rsidRPr="009B5AB7" w:rsidRDefault="00CA247B" w:rsidP="00CA247B">
      <w:pPr>
        <w:rPr>
          <w:rFonts w:ascii="Tahoma" w:hAnsi="Tahoma" w:cs="Tahoma"/>
          <w:b/>
          <w:color w:val="FF0000"/>
          <w:sz w:val="16"/>
          <w:szCs w:val="16"/>
          <w:u w:val="single"/>
        </w:rPr>
      </w:pPr>
    </w:p>
    <w:p w:rsidR="00CA247B" w:rsidRPr="00442ADF" w:rsidRDefault="00CA247B" w:rsidP="00CA247B">
      <w:pPr>
        <w:rPr>
          <w:rFonts w:ascii="Tahoma" w:hAnsi="Tahoma" w:cs="Tahoma"/>
          <w:b/>
          <w:color w:val="FF0000"/>
          <w:sz w:val="24"/>
          <w:szCs w:val="24"/>
          <w:u w:val="single"/>
        </w:rPr>
      </w:pPr>
      <w:r>
        <w:rPr>
          <w:rFonts w:ascii="Tahoma" w:hAnsi="Tahoma" w:cs="Tahoma"/>
          <w:b/>
          <w:color w:val="FF0000"/>
          <w:sz w:val="24"/>
          <w:szCs w:val="24"/>
          <w:u w:val="single"/>
        </w:rPr>
        <w:t>INDICAZIONI CASI PARTICOLARI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854"/>
      </w:tblGrid>
      <w:tr w:rsidR="00442ADF" w:rsidTr="00442ADF">
        <w:tc>
          <w:tcPr>
            <w:tcW w:w="14569" w:type="dxa"/>
          </w:tcPr>
          <w:p w:rsidR="00525C0C" w:rsidRPr="009B5AB7" w:rsidRDefault="00CA247B" w:rsidP="00525C0C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ind w:left="318" w:hanging="284"/>
              <w:jc w:val="both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9B5AB7"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  <w:t>ABITAZIONE PRINCIPALE</w:t>
            </w:r>
            <w:r w:rsidR="009B5AB7"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  <w:t>:</w:t>
            </w:r>
            <w:r w:rsidRPr="009B5AB7"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  <w:t> </w:t>
            </w:r>
            <w:r w:rsidR="00525C0C" w:rsidRPr="009B5AB7">
              <w:rPr>
                <w:rFonts w:ascii="Tahoma" w:hAnsi="Tahoma" w:cs="Tahoma"/>
                <w:color w:val="000000" w:themeColor="text1"/>
                <w:sz w:val="22"/>
                <w:szCs w:val="22"/>
              </w:rPr>
              <w:t xml:space="preserve"> </w:t>
            </w:r>
          </w:p>
          <w:p w:rsidR="00CA247B" w:rsidRPr="009B5AB7" w:rsidRDefault="00CA247B" w:rsidP="009B5AB7">
            <w:pPr>
              <w:spacing w:after="0" w:line="240" w:lineRule="auto"/>
              <w:ind w:left="284"/>
              <w:rPr>
                <w:rFonts w:ascii="Tahoma" w:eastAsia="Times New Roman" w:hAnsi="Tahoma" w:cs="Tahoma"/>
                <w:color w:val="000000" w:themeColor="text1"/>
                <w:sz w:val="20"/>
                <w:szCs w:val="20"/>
              </w:rPr>
            </w:pPr>
            <w:r w:rsidRPr="009B5AB7">
              <w:rPr>
                <w:rFonts w:ascii="Tahoma" w:eastAsia="Times New Roman" w:hAnsi="Tahoma" w:cs="Tahoma"/>
                <w:color w:val="000000" w:themeColor="text1"/>
                <w:sz w:val="20"/>
                <w:szCs w:val="20"/>
              </w:rPr>
              <w:t>La norma dispone che nel caso in cui i membri del nucleo familiare abbiano stabilito la residenza in immobili diversi - siti nello stesso comune oppure in comuni diversi - l’agevolazione prevista per l’abitazione principale spetti per un solo immobile, scelto dai componenti del nucleo familiare.</w:t>
            </w:r>
          </w:p>
          <w:p w:rsidR="00CA247B" w:rsidRPr="009B5AB7" w:rsidRDefault="00CA247B" w:rsidP="009B5AB7">
            <w:pPr>
              <w:pStyle w:val="NormaleWeb"/>
              <w:spacing w:before="0" w:after="0" w:line="276" w:lineRule="auto"/>
              <w:ind w:left="318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9B5AB7">
              <w:rPr>
                <w:rFonts w:ascii="Tahoma" w:hAnsi="Tahoma" w:cs="Tahoma"/>
                <w:color w:val="000000" w:themeColor="text1"/>
                <w:sz w:val="20"/>
                <w:szCs w:val="20"/>
              </w:rPr>
              <w:t>La scelta dovrà essere comunicata per mezzo della presentazione della Dichiarazione IMU al Comune di ubicazione dell’immobile da considerare abitazione principale. </w:t>
            </w:r>
          </w:p>
          <w:p w:rsidR="000D0C5B" w:rsidRPr="000D0C5B" w:rsidRDefault="009B5AB7" w:rsidP="00525C0C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ind w:left="318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  <w:u w:val="single"/>
              </w:rPr>
              <w:t>PER LE SECONDE CASE È POSSIBILE RICHIEDERE UNA RIDUZIONE DEL  50% DELL’IMPORTO DOVUTO NEI SEGUENTI CASI:</w:t>
            </w:r>
          </w:p>
          <w:p w:rsidR="000D0C5B" w:rsidRPr="009B5AB7" w:rsidRDefault="000D0C5B" w:rsidP="000D0C5B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bookmarkStart w:id="0" w:name="_GoBack"/>
            <w:bookmarkEnd w:id="0"/>
            <w:r w:rsidRPr="009B5AB7">
              <w:rPr>
                <w:rFonts w:ascii="Tahoma" w:hAnsi="Tahoma" w:cs="Tahoma"/>
                <w:sz w:val="20"/>
                <w:szCs w:val="20"/>
              </w:rPr>
              <w:t>Abitazioni inagibili;</w:t>
            </w:r>
          </w:p>
          <w:p w:rsidR="000D0C5B" w:rsidRPr="009B5AB7" w:rsidRDefault="000D0C5B" w:rsidP="000D0C5B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9B5AB7">
              <w:rPr>
                <w:rFonts w:ascii="Tahoma" w:hAnsi="Tahoma" w:cs="Tahoma"/>
                <w:sz w:val="20"/>
                <w:szCs w:val="20"/>
              </w:rPr>
              <w:t>Fabbricati storici e artistici;</w:t>
            </w:r>
          </w:p>
          <w:p w:rsidR="006B65C5" w:rsidRDefault="00525C0C" w:rsidP="006B65C5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B5AB7">
              <w:rPr>
                <w:rFonts w:ascii="Tahoma" w:hAnsi="Tahoma" w:cs="Tahoma"/>
                <w:sz w:val="20"/>
                <w:szCs w:val="20"/>
              </w:rPr>
              <w:t>È confermata la disciplina per le unità immobiliari concesse in comodato</w:t>
            </w:r>
            <w:r w:rsidR="006B65C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6B65C5">
              <w:rPr>
                <w:rFonts w:ascii="Tahoma" w:hAnsi="Tahoma" w:cs="Tahoma"/>
                <w:sz w:val="22"/>
                <w:szCs w:val="22"/>
              </w:rPr>
              <w:t>(</w:t>
            </w:r>
            <w:r w:rsidR="006B65C5" w:rsidRPr="00B10355">
              <w:rPr>
                <w:rFonts w:ascii="Tahoma" w:hAnsi="Tahoma" w:cs="Tahoma"/>
                <w:sz w:val="18"/>
                <w:szCs w:val="18"/>
              </w:rPr>
              <w:t>come stabilito</w:t>
            </w:r>
            <w:r w:rsidR="006B65C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B65C5" w:rsidRPr="00B10355">
              <w:rPr>
                <w:rFonts w:ascii="Tahoma" w:hAnsi="Tahoma" w:cs="Tahoma"/>
                <w:sz w:val="18"/>
                <w:szCs w:val="18"/>
              </w:rPr>
              <w:t>dalla</w:t>
            </w:r>
            <w:r w:rsidR="006B65C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B65C5" w:rsidRPr="005D3609">
              <w:rPr>
                <w:rFonts w:ascii="Tahoma" w:hAnsi="Tahoma" w:cs="Tahoma"/>
                <w:sz w:val="18"/>
                <w:szCs w:val="18"/>
              </w:rPr>
              <w:t>Legge di stabilità 2016</w:t>
            </w:r>
            <w:r w:rsidR="006B65C5">
              <w:rPr>
                <w:rFonts w:ascii="Tahoma" w:hAnsi="Tahoma" w:cs="Tahoma"/>
                <w:sz w:val="18"/>
                <w:szCs w:val="18"/>
              </w:rPr>
              <w:t>);</w:t>
            </w:r>
          </w:p>
          <w:p w:rsidR="00442ADF" w:rsidRPr="00CA247B" w:rsidRDefault="009B5AB7" w:rsidP="00525C0C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ind w:left="318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CA247B">
              <w:rPr>
                <w:rFonts w:ascii="Tahoma" w:hAnsi="Tahoma" w:cs="Tahoma"/>
                <w:b/>
                <w:sz w:val="22"/>
                <w:szCs w:val="22"/>
              </w:rPr>
              <w:t>NON È DOVUTA L’IMU PER I TERRENI AGRICOLI;</w:t>
            </w:r>
          </w:p>
          <w:p w:rsidR="00CA247B" w:rsidRPr="009B5AB7" w:rsidRDefault="00CA247B" w:rsidP="00525C0C">
            <w:pPr>
              <w:pStyle w:val="NormaleWeb"/>
              <w:numPr>
                <w:ilvl w:val="0"/>
                <w:numId w:val="1"/>
              </w:numPr>
              <w:spacing w:before="0" w:after="0" w:line="276" w:lineRule="auto"/>
              <w:ind w:left="318" w:hanging="284"/>
              <w:jc w:val="both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9B5AB7"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  <w:t>ESENZIONE IMU "IMMOBILI MERCE”:</w:t>
            </w:r>
          </w:p>
          <w:p w:rsidR="00CA247B" w:rsidRPr="009B5AB7" w:rsidRDefault="00CA247B" w:rsidP="009B5AB7">
            <w:pPr>
              <w:spacing w:after="0" w:line="240" w:lineRule="auto"/>
              <w:ind w:left="284"/>
              <w:rPr>
                <w:rFonts w:ascii="Tahoma" w:eastAsia="Times New Roman" w:hAnsi="Tahoma" w:cs="Tahoma"/>
                <w:color w:val="000000" w:themeColor="text1"/>
                <w:sz w:val="20"/>
                <w:szCs w:val="20"/>
              </w:rPr>
            </w:pPr>
            <w:r w:rsidRPr="009B5AB7">
              <w:rPr>
                <w:rFonts w:ascii="Tahoma" w:eastAsia="Times New Roman" w:hAnsi="Tahoma" w:cs="Tahoma"/>
                <w:color w:val="000000" w:themeColor="text1"/>
                <w:sz w:val="20"/>
                <w:szCs w:val="20"/>
              </w:rPr>
              <w:t>A decorrere dal 1° gennaio 2022 sono esenti dall’IMU i fabbricati costruiti e destinati dall’impresa costruttrice alla vendita, finché permanga tale destinazione e non siano locati.</w:t>
            </w:r>
          </w:p>
          <w:p w:rsidR="00CA247B" w:rsidRPr="009B5AB7" w:rsidRDefault="00CA247B" w:rsidP="009B5AB7">
            <w:pPr>
              <w:pStyle w:val="NormaleWeb"/>
              <w:spacing w:before="0" w:after="0" w:line="276" w:lineRule="auto"/>
              <w:ind w:left="284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9B5AB7">
              <w:rPr>
                <w:rFonts w:ascii="Tahoma" w:hAnsi="Tahoma" w:cs="Tahoma"/>
                <w:color w:val="000000" w:themeColor="text1"/>
                <w:sz w:val="20"/>
                <w:szCs w:val="20"/>
              </w:rPr>
              <w:t>Resta obbligatoria la presentazione della dichiarazione IMU a pena di decadenza.</w:t>
            </w:r>
          </w:p>
          <w:p w:rsidR="00CA247B" w:rsidRPr="009B5AB7" w:rsidRDefault="00CA247B" w:rsidP="00CA247B">
            <w:pPr>
              <w:pStyle w:val="NormaleWeb"/>
              <w:spacing w:before="0" w:after="0" w:line="276" w:lineRule="auto"/>
              <w:ind w:left="318"/>
              <w:jc w:val="both"/>
              <w:rPr>
                <w:rFonts w:ascii="Tahoma" w:hAnsi="Tahoma" w:cs="Tahoma"/>
                <w:color w:val="000000" w:themeColor="text1"/>
                <w:sz w:val="16"/>
                <w:szCs w:val="16"/>
              </w:rPr>
            </w:pPr>
          </w:p>
          <w:p w:rsidR="006B65C5" w:rsidRPr="009B5AB7" w:rsidRDefault="006B65C5" w:rsidP="006B65C5">
            <w:pPr>
              <w:pStyle w:val="NormaleWeb"/>
              <w:spacing w:before="0" w:after="0" w:line="276" w:lineRule="auto"/>
              <w:jc w:val="both"/>
              <w:rPr>
                <w:rFonts w:ascii="Tahoma" w:hAnsi="Tahoma" w:cs="Tahoma"/>
                <w:b/>
                <w:sz w:val="20"/>
                <w:szCs w:val="22"/>
              </w:rPr>
            </w:pPr>
            <w:r w:rsidRPr="009B5AB7">
              <w:rPr>
                <w:rFonts w:ascii="Tahoma" w:hAnsi="Tahoma" w:cs="Tahoma"/>
                <w:b/>
                <w:sz w:val="20"/>
                <w:szCs w:val="22"/>
              </w:rPr>
              <w:t xml:space="preserve">N.B.: </w:t>
            </w:r>
          </w:p>
          <w:p w:rsidR="006B65C5" w:rsidRPr="009B5AB7" w:rsidRDefault="006B65C5" w:rsidP="00B10355">
            <w:pPr>
              <w:pStyle w:val="NormaleWeb"/>
              <w:numPr>
                <w:ilvl w:val="0"/>
                <w:numId w:val="8"/>
              </w:numPr>
              <w:spacing w:before="0" w:after="0" w:line="276" w:lineRule="auto"/>
              <w:ind w:left="284" w:hanging="284"/>
              <w:jc w:val="both"/>
              <w:rPr>
                <w:rFonts w:ascii="Tahoma" w:hAnsi="Tahoma" w:cs="Tahoma"/>
                <w:sz w:val="20"/>
                <w:szCs w:val="22"/>
              </w:rPr>
            </w:pPr>
            <w:r w:rsidRPr="009B5AB7">
              <w:rPr>
                <w:rFonts w:ascii="Tahoma" w:hAnsi="Tahoma" w:cs="Tahoma"/>
                <w:sz w:val="20"/>
                <w:szCs w:val="22"/>
              </w:rPr>
              <w:t>per poter aver diritto all’</w:t>
            </w:r>
            <w:r w:rsidRPr="009B5AB7">
              <w:rPr>
                <w:rFonts w:ascii="Tahoma" w:hAnsi="Tahoma" w:cs="Tahoma"/>
                <w:b/>
                <w:sz w:val="20"/>
                <w:szCs w:val="22"/>
                <w:u w:val="single"/>
              </w:rPr>
              <w:t>agevolazione nel caso di immobile inagibile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 è necessario presentare la </w:t>
            </w:r>
            <w:r w:rsidRPr="009B5AB7">
              <w:rPr>
                <w:rFonts w:ascii="Tahoma" w:hAnsi="Tahoma" w:cs="Tahoma"/>
                <w:sz w:val="20"/>
                <w:szCs w:val="22"/>
                <w:u w:val="single"/>
              </w:rPr>
              <w:t xml:space="preserve">dichiarazione IMU entro il </w:t>
            </w:r>
            <w:r w:rsidRPr="003D4747">
              <w:rPr>
                <w:rFonts w:ascii="Tahoma" w:hAnsi="Tahoma" w:cs="Tahoma"/>
                <w:b/>
                <w:sz w:val="20"/>
                <w:szCs w:val="22"/>
                <w:u w:val="single"/>
              </w:rPr>
              <w:t>30 giugno 202</w:t>
            </w:r>
            <w:r w:rsidR="00830B7B" w:rsidRPr="003D4747">
              <w:rPr>
                <w:rFonts w:ascii="Tahoma" w:hAnsi="Tahoma" w:cs="Tahoma"/>
                <w:b/>
                <w:sz w:val="20"/>
                <w:szCs w:val="22"/>
                <w:u w:val="single"/>
              </w:rPr>
              <w:t>4</w:t>
            </w:r>
            <w:r w:rsidRPr="009B5AB7">
              <w:rPr>
                <w:rFonts w:ascii="Tahoma" w:hAnsi="Tahoma" w:cs="Tahoma"/>
                <w:sz w:val="20"/>
                <w:szCs w:val="22"/>
              </w:rPr>
              <w:t>; L’inagibilità dell’immobile deve essere certificata con dichiarazione sostitutiva (autocertificazione);</w:t>
            </w:r>
          </w:p>
          <w:p w:rsidR="006B65C5" w:rsidRPr="00B10355" w:rsidRDefault="006B65C5" w:rsidP="006B65C5">
            <w:pPr>
              <w:pStyle w:val="NormaleWeb"/>
              <w:numPr>
                <w:ilvl w:val="0"/>
                <w:numId w:val="8"/>
              </w:numPr>
              <w:spacing w:before="0" w:after="0" w:line="276" w:lineRule="auto"/>
              <w:ind w:left="284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B5AB7">
              <w:rPr>
                <w:rFonts w:ascii="Tahoma" w:hAnsi="Tahoma" w:cs="Tahoma"/>
                <w:sz w:val="20"/>
                <w:szCs w:val="22"/>
              </w:rPr>
              <w:t xml:space="preserve">per poter usufruire delle </w:t>
            </w:r>
            <w:r w:rsidRPr="009B5AB7">
              <w:rPr>
                <w:rFonts w:ascii="Tahoma" w:hAnsi="Tahoma" w:cs="Tahoma"/>
                <w:b/>
                <w:sz w:val="20"/>
                <w:szCs w:val="22"/>
                <w:u w:val="single"/>
              </w:rPr>
              <w:t>agevolazioni in caso di abitazioni inutilizzabili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, </w:t>
            </w:r>
            <w:r w:rsidRPr="009B5AB7">
              <w:rPr>
                <w:rFonts w:ascii="Tahoma" w:hAnsi="Tahoma" w:cs="Tahoma"/>
                <w:b/>
                <w:sz w:val="20"/>
                <w:szCs w:val="22"/>
                <w:u w:val="single"/>
              </w:rPr>
              <w:t>utilizzate solo per il periodo estivo o invernale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 e per il </w:t>
            </w:r>
            <w:r w:rsidRPr="009B5AB7">
              <w:rPr>
                <w:rFonts w:ascii="Tahoma" w:hAnsi="Tahoma" w:cs="Tahoma"/>
                <w:b/>
                <w:sz w:val="20"/>
                <w:szCs w:val="22"/>
                <w:u w:val="single"/>
              </w:rPr>
              <w:t>Comodato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 è necessario </w:t>
            </w:r>
            <w:r w:rsidRPr="009B5AB7">
              <w:rPr>
                <w:rFonts w:ascii="Tahoma" w:hAnsi="Tahoma" w:cs="Tahoma"/>
                <w:b/>
                <w:sz w:val="20"/>
                <w:szCs w:val="22"/>
                <w:u w:val="single"/>
                <w:shd w:val="clear" w:color="auto" w:fill="5FACF0" w:themeFill="text2" w:themeFillShade="BF"/>
              </w:rPr>
              <w:t>presentare apposito modulo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 (reperibile presso l’ufficio tributi o sul sito istituzionale) </w:t>
            </w:r>
            <w:r w:rsidRPr="009B5AB7">
              <w:rPr>
                <w:rFonts w:ascii="Tahoma" w:hAnsi="Tahoma" w:cs="Tahoma"/>
                <w:sz w:val="20"/>
                <w:szCs w:val="22"/>
                <w:u w:val="single"/>
              </w:rPr>
              <w:t xml:space="preserve">entro la scadenza della prima rata </w:t>
            </w:r>
            <w:r w:rsidRPr="009B5AB7">
              <w:rPr>
                <w:rFonts w:ascii="Tahoma" w:hAnsi="Tahoma" w:cs="Tahoma"/>
                <w:sz w:val="20"/>
                <w:szCs w:val="22"/>
              </w:rPr>
              <w:t xml:space="preserve">o in caso di richiesta conteggi all’ufficio tributi </w:t>
            </w:r>
            <w:r w:rsidRPr="009B5AB7">
              <w:rPr>
                <w:rFonts w:ascii="Tahoma" w:hAnsi="Tahoma" w:cs="Tahoma"/>
                <w:sz w:val="20"/>
                <w:szCs w:val="22"/>
                <w:u w:val="single"/>
              </w:rPr>
              <w:t>al momento della richiesta</w:t>
            </w:r>
            <w:r w:rsidRPr="009B5AB7">
              <w:rPr>
                <w:rFonts w:ascii="Tahoma" w:hAnsi="Tahoma" w:cs="Tahoma"/>
                <w:sz w:val="20"/>
                <w:szCs w:val="22"/>
              </w:rPr>
              <w:t>;</w:t>
            </w:r>
          </w:p>
        </w:tc>
      </w:tr>
    </w:tbl>
    <w:p w:rsidR="00AA7333" w:rsidRPr="000D258D" w:rsidRDefault="00AA7333" w:rsidP="000D258D">
      <w:pPr>
        <w:spacing w:after="0"/>
        <w:rPr>
          <w:rFonts w:ascii="Tahoma" w:eastAsia="Times New Roman" w:hAnsi="Tahoma" w:cs="Tahoma"/>
          <w:sz w:val="8"/>
          <w:szCs w:val="8"/>
          <w:lang w:eastAsia="en-US"/>
        </w:rPr>
      </w:pPr>
    </w:p>
    <w:p w:rsidR="005F1CFF" w:rsidRPr="00A6232B" w:rsidRDefault="005F1CFF" w:rsidP="00AA7333">
      <w:pPr>
        <w:spacing w:after="200" w:line="276" w:lineRule="auto"/>
        <w:jc w:val="left"/>
        <w:rPr>
          <w:rFonts w:ascii="Tahoma" w:hAnsi="Tahoma" w:cs="Tahoma"/>
          <w:sz w:val="18"/>
          <w:szCs w:val="18"/>
        </w:rPr>
      </w:pPr>
    </w:p>
    <w:sectPr w:rsidR="005F1CFF" w:rsidRPr="00A6232B" w:rsidSect="009B5AB7">
      <w:headerReference w:type="default" r:id="rId11"/>
      <w:pgSz w:w="11906" w:h="16838"/>
      <w:pgMar w:top="365" w:right="1134" w:bottom="142" w:left="1134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333" w:rsidRDefault="00AA7333" w:rsidP="00DC2EAC">
      <w:pPr>
        <w:spacing w:after="0" w:line="240" w:lineRule="auto"/>
      </w:pPr>
      <w:r>
        <w:separator/>
      </w:r>
    </w:p>
  </w:endnote>
  <w:endnote w:type="continuationSeparator" w:id="0">
    <w:p w:rsidR="00AA7333" w:rsidRDefault="00AA7333" w:rsidP="00DC2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333" w:rsidRDefault="00AA7333" w:rsidP="00DC2EAC">
      <w:pPr>
        <w:spacing w:after="0" w:line="240" w:lineRule="auto"/>
      </w:pPr>
      <w:r>
        <w:separator/>
      </w:r>
    </w:p>
  </w:footnote>
  <w:footnote w:type="continuationSeparator" w:id="0">
    <w:p w:rsidR="00AA7333" w:rsidRDefault="00AA7333" w:rsidP="00DC2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33" w:rsidRPr="009B5AB7" w:rsidRDefault="00AA7333" w:rsidP="00442ADF">
    <w:pPr>
      <w:spacing w:after="0"/>
      <w:jc w:val="center"/>
      <w:rPr>
        <w:rFonts w:ascii="Century Gothic" w:hAnsi="Century Gothic" w:cs="Tahoma"/>
        <w:b/>
        <w:sz w:val="40"/>
        <w:szCs w:val="44"/>
      </w:rPr>
    </w:pPr>
    <w:r w:rsidRPr="009B5AB7">
      <w:rPr>
        <w:noProof/>
        <w:sz w:val="40"/>
        <w:szCs w:val="44"/>
      </w:rPr>
      <w:drawing>
        <wp:anchor distT="0" distB="0" distL="114300" distR="114300" simplePos="0" relativeHeight="251661312" behindDoc="0" locked="0" layoutInCell="1" allowOverlap="1" wp14:anchorId="04963136" wp14:editId="10EA928D">
          <wp:simplePos x="0" y="0"/>
          <wp:positionH relativeFrom="margin">
            <wp:posOffset>708660</wp:posOffset>
          </wp:positionH>
          <wp:positionV relativeFrom="margin">
            <wp:posOffset>-789940</wp:posOffset>
          </wp:positionV>
          <wp:extent cx="680923" cy="733425"/>
          <wp:effectExtent l="0" t="0" r="5080" b="0"/>
          <wp:wrapNone/>
          <wp:docPr id="2" name="Immagine 1" descr="StemmaBian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emmaBianc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923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B5AB7">
      <w:rPr>
        <w:rFonts w:ascii="Century Gothic" w:hAnsi="Century Gothic" w:cs="Tahoma"/>
        <w:b/>
        <w:sz w:val="40"/>
        <w:szCs w:val="44"/>
      </w:rPr>
      <w:t>COMUNE di AZZATE</w:t>
    </w:r>
  </w:p>
  <w:p w:rsidR="00AA7333" w:rsidRPr="009B5AB7" w:rsidRDefault="00AA7333" w:rsidP="00442ADF">
    <w:pPr>
      <w:spacing w:after="0"/>
      <w:jc w:val="center"/>
      <w:rPr>
        <w:rFonts w:ascii="Century Gothic" w:hAnsi="Century Gothic" w:cs="Tahoma"/>
        <w:b/>
        <w:sz w:val="18"/>
        <w:szCs w:val="20"/>
      </w:rPr>
    </w:pPr>
    <w:r w:rsidRPr="009B5AB7">
      <w:rPr>
        <w:rFonts w:ascii="Century Gothic" w:hAnsi="Century Gothic" w:cs="Tahoma"/>
        <w:b/>
        <w:sz w:val="18"/>
        <w:szCs w:val="20"/>
      </w:rPr>
      <w:t>PROVINCIA di VARESE</w:t>
    </w:r>
  </w:p>
  <w:p w:rsidR="00AA7333" w:rsidRPr="009B5AB7" w:rsidRDefault="00AA7333" w:rsidP="00442ADF">
    <w:pPr>
      <w:spacing w:after="0"/>
      <w:jc w:val="center"/>
      <w:rPr>
        <w:szCs w:val="24"/>
      </w:rPr>
    </w:pPr>
    <w:r w:rsidRPr="009B5AB7">
      <w:rPr>
        <w:rFonts w:ascii="Cambria" w:hAnsi="Cambria" w:cs="Tahoma"/>
        <w:b/>
        <w:spacing w:val="160"/>
        <w:sz w:val="36"/>
        <w:szCs w:val="40"/>
      </w:rPr>
      <w:t xml:space="preserve"> </w:t>
    </w:r>
    <w:r w:rsidRPr="009B5AB7">
      <w:rPr>
        <w:rFonts w:ascii="Cambria" w:hAnsi="Cambria" w:cs="Tahoma"/>
        <w:b/>
        <w:spacing w:val="160"/>
        <w:szCs w:val="24"/>
      </w:rPr>
      <w:t>UFFICIO</w:t>
    </w:r>
    <w:r w:rsidRPr="009B5AB7">
      <w:rPr>
        <w:szCs w:val="24"/>
      </w:rPr>
      <w:t xml:space="preserve"> </w:t>
    </w:r>
    <w:r w:rsidRPr="009B5AB7">
      <w:rPr>
        <w:rFonts w:ascii="Cambria" w:hAnsi="Cambria" w:cs="Tahoma"/>
        <w:b/>
        <w:spacing w:val="160"/>
        <w:szCs w:val="24"/>
      </w:rPr>
      <w:t>TRIBUTI</w:t>
    </w:r>
  </w:p>
  <w:p w:rsidR="009B5AB7" w:rsidRPr="009B5AB7" w:rsidRDefault="009B5AB7" w:rsidP="005F7571">
    <w:pPr>
      <w:pStyle w:val="Testonormale"/>
      <w:tabs>
        <w:tab w:val="left" w:pos="8760"/>
      </w:tabs>
      <w:jc w:val="center"/>
      <w:rPr>
        <w:rFonts w:ascii="Cambria" w:hAnsi="Cambria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9273A"/>
    <w:multiLevelType w:val="hybridMultilevel"/>
    <w:tmpl w:val="089CCC1E"/>
    <w:lvl w:ilvl="0" w:tplc="6D7C953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222F1"/>
    <w:multiLevelType w:val="hybridMultilevel"/>
    <w:tmpl w:val="576E788E"/>
    <w:lvl w:ilvl="0" w:tplc="A84626E8">
      <w:start w:val="1"/>
      <w:numFmt w:val="decimal"/>
      <w:lvlText w:val="%1)"/>
      <w:lvlJc w:val="left"/>
      <w:pPr>
        <w:ind w:left="765" w:hanging="360"/>
      </w:pPr>
      <w:rPr>
        <w:rFonts w:hint="default"/>
        <w:spacing w:val="0"/>
        <w:position w:val="1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485" w:hanging="360"/>
      </w:pPr>
    </w:lvl>
    <w:lvl w:ilvl="2" w:tplc="0410001B" w:tentative="1">
      <w:start w:val="1"/>
      <w:numFmt w:val="lowerRoman"/>
      <w:lvlText w:val="%3."/>
      <w:lvlJc w:val="right"/>
      <w:pPr>
        <w:ind w:left="2205" w:hanging="180"/>
      </w:pPr>
    </w:lvl>
    <w:lvl w:ilvl="3" w:tplc="0410000F" w:tentative="1">
      <w:start w:val="1"/>
      <w:numFmt w:val="decimal"/>
      <w:lvlText w:val="%4."/>
      <w:lvlJc w:val="left"/>
      <w:pPr>
        <w:ind w:left="2925" w:hanging="360"/>
      </w:pPr>
    </w:lvl>
    <w:lvl w:ilvl="4" w:tplc="04100019" w:tentative="1">
      <w:start w:val="1"/>
      <w:numFmt w:val="lowerLetter"/>
      <w:lvlText w:val="%5."/>
      <w:lvlJc w:val="left"/>
      <w:pPr>
        <w:ind w:left="3645" w:hanging="360"/>
      </w:pPr>
    </w:lvl>
    <w:lvl w:ilvl="5" w:tplc="0410001B" w:tentative="1">
      <w:start w:val="1"/>
      <w:numFmt w:val="lowerRoman"/>
      <w:lvlText w:val="%6."/>
      <w:lvlJc w:val="right"/>
      <w:pPr>
        <w:ind w:left="4365" w:hanging="180"/>
      </w:pPr>
    </w:lvl>
    <w:lvl w:ilvl="6" w:tplc="0410000F" w:tentative="1">
      <w:start w:val="1"/>
      <w:numFmt w:val="decimal"/>
      <w:lvlText w:val="%7."/>
      <w:lvlJc w:val="left"/>
      <w:pPr>
        <w:ind w:left="5085" w:hanging="360"/>
      </w:pPr>
    </w:lvl>
    <w:lvl w:ilvl="7" w:tplc="04100019" w:tentative="1">
      <w:start w:val="1"/>
      <w:numFmt w:val="lowerLetter"/>
      <w:lvlText w:val="%8."/>
      <w:lvlJc w:val="left"/>
      <w:pPr>
        <w:ind w:left="5805" w:hanging="360"/>
      </w:pPr>
    </w:lvl>
    <w:lvl w:ilvl="8" w:tplc="0410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55C52437"/>
    <w:multiLevelType w:val="hybridMultilevel"/>
    <w:tmpl w:val="3F92336A"/>
    <w:lvl w:ilvl="0" w:tplc="9216FD84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E0277B"/>
    <w:multiLevelType w:val="hybridMultilevel"/>
    <w:tmpl w:val="A372FF4E"/>
    <w:lvl w:ilvl="0" w:tplc="A84626E8">
      <w:start w:val="1"/>
      <w:numFmt w:val="decimal"/>
      <w:lvlText w:val="%1)"/>
      <w:lvlJc w:val="left"/>
      <w:pPr>
        <w:ind w:left="1080" w:hanging="360"/>
      </w:pPr>
      <w:rPr>
        <w:rFonts w:hint="default"/>
        <w:spacing w:val="0"/>
        <w:position w:val="1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17A4857"/>
    <w:multiLevelType w:val="hybridMultilevel"/>
    <w:tmpl w:val="F3C45534"/>
    <w:lvl w:ilvl="0" w:tplc="6D7C953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A644E8"/>
    <w:multiLevelType w:val="hybridMultilevel"/>
    <w:tmpl w:val="17BA965E"/>
    <w:lvl w:ilvl="0" w:tplc="94504A1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CC66C8"/>
    <w:multiLevelType w:val="hybridMultilevel"/>
    <w:tmpl w:val="89002A50"/>
    <w:lvl w:ilvl="0" w:tplc="6D7C953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E02682"/>
    <w:multiLevelType w:val="multilevel"/>
    <w:tmpl w:val="FF9EE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EAC"/>
    <w:rsid w:val="00002562"/>
    <w:rsid w:val="000854CC"/>
    <w:rsid w:val="000A64D4"/>
    <w:rsid w:val="000C26F7"/>
    <w:rsid w:val="000D0C5B"/>
    <w:rsid w:val="000D258D"/>
    <w:rsid w:val="000F0424"/>
    <w:rsid w:val="001423FA"/>
    <w:rsid w:val="001827E2"/>
    <w:rsid w:val="002009AB"/>
    <w:rsid w:val="002010C1"/>
    <w:rsid w:val="00213905"/>
    <w:rsid w:val="00271506"/>
    <w:rsid w:val="00281C90"/>
    <w:rsid w:val="00296471"/>
    <w:rsid w:val="0037249B"/>
    <w:rsid w:val="003830B0"/>
    <w:rsid w:val="003A0C64"/>
    <w:rsid w:val="003D4747"/>
    <w:rsid w:val="00442ADF"/>
    <w:rsid w:val="0048012E"/>
    <w:rsid w:val="00525C0C"/>
    <w:rsid w:val="005612D8"/>
    <w:rsid w:val="005B5366"/>
    <w:rsid w:val="005F1CFF"/>
    <w:rsid w:val="005F7571"/>
    <w:rsid w:val="006A5275"/>
    <w:rsid w:val="006B65C5"/>
    <w:rsid w:val="006E0391"/>
    <w:rsid w:val="00714740"/>
    <w:rsid w:val="00756F4B"/>
    <w:rsid w:val="00757370"/>
    <w:rsid w:val="00765C79"/>
    <w:rsid w:val="00765CD5"/>
    <w:rsid w:val="007D0EE3"/>
    <w:rsid w:val="0081400C"/>
    <w:rsid w:val="00830B7B"/>
    <w:rsid w:val="008422AB"/>
    <w:rsid w:val="008E5B99"/>
    <w:rsid w:val="00950CD8"/>
    <w:rsid w:val="00992913"/>
    <w:rsid w:val="009B5AB7"/>
    <w:rsid w:val="009D71E2"/>
    <w:rsid w:val="00A1727C"/>
    <w:rsid w:val="00A21A64"/>
    <w:rsid w:val="00A32F93"/>
    <w:rsid w:val="00A6232B"/>
    <w:rsid w:val="00A722BA"/>
    <w:rsid w:val="00AA2DFF"/>
    <w:rsid w:val="00AA7333"/>
    <w:rsid w:val="00B02A26"/>
    <w:rsid w:val="00B10355"/>
    <w:rsid w:val="00B54947"/>
    <w:rsid w:val="00CA247B"/>
    <w:rsid w:val="00D92BE1"/>
    <w:rsid w:val="00D930F3"/>
    <w:rsid w:val="00DC2EAC"/>
    <w:rsid w:val="00E90EA2"/>
    <w:rsid w:val="00E97FF4"/>
    <w:rsid w:val="00EE3905"/>
    <w:rsid w:val="00EF0A35"/>
    <w:rsid w:val="00EF201F"/>
    <w:rsid w:val="00EF7CB4"/>
    <w:rsid w:val="00F4089F"/>
    <w:rsid w:val="00FA72B7"/>
    <w:rsid w:val="00FD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C2EAC"/>
    <w:pPr>
      <w:spacing w:after="160" w:line="252" w:lineRule="auto"/>
      <w:jc w:val="both"/>
    </w:pPr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3A0C64"/>
    <w:pPr>
      <w:tabs>
        <w:tab w:val="left" w:pos="1134"/>
      </w:tabs>
      <w:jc w:val="center"/>
    </w:pPr>
    <w:rPr>
      <w:rFonts w:ascii="Garamond" w:eastAsia="Times New Roman" w:hAnsi="Garamond" w:cs="Times New Roman"/>
      <w:b/>
      <w:sz w:val="26"/>
    </w:rPr>
  </w:style>
  <w:style w:type="paragraph" w:styleId="Intestazione">
    <w:name w:val="header"/>
    <w:basedOn w:val="Normale"/>
    <w:link w:val="IntestazioneCarattere"/>
    <w:uiPriority w:val="99"/>
    <w:unhideWhenUsed/>
    <w:rsid w:val="00DC2EA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C2EAC"/>
    <w:rPr>
      <w:rFonts w:ascii="Times New Roman" w:hAnsi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nhideWhenUsed/>
    <w:rsid w:val="00DC2EA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C2EAC"/>
    <w:rPr>
      <w:rFonts w:ascii="Times New Roman" w:hAnsi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DC2E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rsid w:val="00DC2EAC"/>
    <w:pPr>
      <w:spacing w:before="120" w:after="216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DC2EA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C2EAC"/>
    <w:rPr>
      <w:color w:val="E2D700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37249B"/>
    <w:rPr>
      <w:b/>
      <w:bCs/>
    </w:rPr>
  </w:style>
  <w:style w:type="paragraph" w:styleId="Testonormale">
    <w:name w:val="Plain Text"/>
    <w:basedOn w:val="Normale"/>
    <w:link w:val="TestonormaleCarattere"/>
    <w:uiPriority w:val="99"/>
    <w:rsid w:val="00FA72B7"/>
    <w:pPr>
      <w:spacing w:after="0" w:line="240" w:lineRule="auto"/>
      <w:jc w:val="left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FA72B7"/>
    <w:rPr>
      <w:rFonts w:ascii="Courier New" w:eastAsia="Times New Roman" w:hAnsi="Courier New" w:cs="Times New Roman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C2EAC"/>
    <w:pPr>
      <w:spacing w:after="160" w:line="252" w:lineRule="auto"/>
      <w:jc w:val="both"/>
    </w:pPr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3A0C64"/>
    <w:pPr>
      <w:tabs>
        <w:tab w:val="left" w:pos="1134"/>
      </w:tabs>
      <w:jc w:val="center"/>
    </w:pPr>
    <w:rPr>
      <w:rFonts w:ascii="Garamond" w:eastAsia="Times New Roman" w:hAnsi="Garamond" w:cs="Times New Roman"/>
      <w:b/>
      <w:sz w:val="26"/>
    </w:rPr>
  </w:style>
  <w:style w:type="paragraph" w:styleId="Intestazione">
    <w:name w:val="header"/>
    <w:basedOn w:val="Normale"/>
    <w:link w:val="IntestazioneCarattere"/>
    <w:uiPriority w:val="99"/>
    <w:unhideWhenUsed/>
    <w:rsid w:val="00DC2EA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C2EAC"/>
    <w:rPr>
      <w:rFonts w:ascii="Times New Roman" w:hAnsi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nhideWhenUsed/>
    <w:rsid w:val="00DC2EA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C2EAC"/>
    <w:rPr>
      <w:rFonts w:ascii="Times New Roman" w:hAnsi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DC2E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rsid w:val="00DC2EAC"/>
    <w:pPr>
      <w:spacing w:before="120" w:after="216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DC2EA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C2EAC"/>
    <w:rPr>
      <w:color w:val="E2D700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37249B"/>
    <w:rPr>
      <w:b/>
      <w:bCs/>
    </w:rPr>
  </w:style>
  <w:style w:type="paragraph" w:styleId="Testonormale">
    <w:name w:val="Plain Text"/>
    <w:basedOn w:val="Normale"/>
    <w:link w:val="TestonormaleCarattere"/>
    <w:uiPriority w:val="99"/>
    <w:rsid w:val="00FA72B7"/>
    <w:pPr>
      <w:spacing w:after="0" w:line="240" w:lineRule="auto"/>
      <w:jc w:val="left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FA72B7"/>
    <w:rPr>
      <w:rFonts w:ascii="Courier New" w:eastAsia="Times New Roman" w:hAnsi="Courier New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mune.azzate.va.i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omune.azzate.v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Equinozio">
  <a:themeElements>
    <a:clrScheme name="Personalizzato 2">
      <a:dk1>
        <a:sysClr val="windowText" lastClr="000000"/>
      </a:dk1>
      <a:lt1>
        <a:sysClr val="window" lastClr="FFFFFF"/>
      </a:lt1>
      <a:dk2>
        <a:srgbClr val="C7E2FA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Equinozio">
      <a:majorFont>
        <a:latin typeface="Calibri"/>
        <a:ea typeface=""/>
        <a:cs typeface=""/>
        <a:font script="Jpan" typeface="ＭＳ Ｐゴシック"/>
        <a:font script="Hang" typeface="HY중고딕"/>
        <a:font script="Hans" typeface="隶书"/>
        <a:font script="Hant" typeface="微軟正黑體"/>
        <a:font script="Arab" typeface="Traditional Arabic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Constantia"/>
        <a:ea typeface=""/>
        <a:cs typeface=""/>
        <a:font script="Jpan" typeface="HGP明朝E"/>
        <a:font script="Hang" typeface="HY신명조"/>
        <a:font script="Hans" typeface="宋体"/>
        <a:font script="Hant" typeface="新細明體"/>
        <a:font script="Arab" typeface="Majalla UI"/>
        <a:font script="Hebr" typeface="David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Equinozio">
      <a:fillStyleLst>
        <a:solidFill>
          <a:schemeClr val="phClr"/>
        </a:solidFill>
        <a:gradFill rotWithShape="1">
          <a:gsLst>
            <a:gs pos="0">
              <a:schemeClr val="phClr">
                <a:tint val="70000"/>
                <a:satMod val="130000"/>
              </a:schemeClr>
            </a:gs>
            <a:gs pos="43000">
              <a:schemeClr val="phClr">
                <a:tint val="44000"/>
                <a:satMod val="165000"/>
              </a:schemeClr>
            </a:gs>
            <a:gs pos="93000">
              <a:schemeClr val="phClr">
                <a:tint val="15000"/>
                <a:satMod val="165000"/>
              </a:schemeClr>
            </a:gs>
            <a:gs pos="100000">
              <a:schemeClr val="phClr">
                <a:tint val="5000"/>
                <a:satMod val="250000"/>
              </a:schemeClr>
            </a:gs>
          </a:gsLst>
          <a:path path="circle">
            <a:fillToRect l="50000" t="130000" r="50000" b="-30000"/>
          </a:path>
        </a:gradFill>
        <a:gradFill rotWithShape="1">
          <a:gsLst>
            <a:gs pos="0">
              <a:schemeClr val="phClr">
                <a:tint val="98000"/>
                <a:shade val="25000"/>
                <a:satMod val="250000"/>
              </a:schemeClr>
            </a:gs>
            <a:gs pos="68000">
              <a:schemeClr val="phClr">
                <a:tint val="86000"/>
                <a:satMod val="115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path path="circle">
            <a:fillToRect l="50000" t="130000" r="50000" b="-30000"/>
          </a:path>
        </a:gradFill>
      </a:fillStyleLst>
      <a:lnStyleLst>
        <a:ln w="9525" cap="flat" cmpd="sng" algn="ctr">
          <a:solidFill>
            <a:schemeClr val="phClr">
              <a:shade val="50000"/>
              <a:satMod val="103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7150" dist="38100" dir="5400000" algn="ctr" rotWithShape="0">
              <a:schemeClr val="phClr">
                <a:shade val="9000"/>
                <a:satMod val="105000"/>
                <a:alpha val="48000"/>
              </a:schemeClr>
            </a:outerShdw>
          </a:effectLst>
        </a:effectStyle>
        <a:effectStyle>
          <a:effectLst>
            <a:outerShdw blurRad="57150" dist="38100" dir="5400000" algn="ctr" rotWithShape="0">
              <a:schemeClr val="phClr">
                <a:shade val="9000"/>
                <a:satMod val="105000"/>
                <a:alpha val="48000"/>
              </a:schemeClr>
            </a:outerShdw>
          </a:effectLst>
        </a:effectStyle>
        <a:effectStyle>
          <a:effectLst>
            <a:outerShdw blurRad="57150" dist="38100" dir="5400000" algn="ctr" rotWithShape="0">
              <a:schemeClr val="phClr">
                <a:shade val="9000"/>
                <a:satMod val="105000"/>
                <a:alpha val="48000"/>
              </a:schemeClr>
            </a:outerShdw>
          </a:effectLst>
          <a:scene3d>
            <a:camera prst="orthographicFront" fov="0">
              <a:rot lat="0" lon="0" rev="0"/>
            </a:camera>
            <a:lightRig rig="glow" dir="tl">
              <a:rot lat="0" lon="0" rev="900000"/>
            </a:lightRig>
          </a:scene3d>
          <a:sp3d prstMaterial="powder">
            <a:bevelT w="25400" h="381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80000"/>
                <a:satMod val="400000"/>
              </a:schemeClr>
            </a:gs>
            <a:gs pos="25000">
              <a:schemeClr val="phClr">
                <a:tint val="83000"/>
                <a:satMod val="320000"/>
              </a:schemeClr>
            </a:gs>
            <a:gs pos="100000">
              <a:schemeClr val="phClr">
                <a:shade val="15000"/>
                <a:satMod val="320000"/>
              </a:schemeClr>
            </a:gs>
          </a:gsLst>
          <a:path path="circle">
            <a:fillToRect l="10000" t="110000" r="1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90000"/>
                <a:satMod val="150000"/>
              </a:schemeClr>
              <a:schemeClr val="phClr">
                <a:tint val="88000"/>
                <a:satMod val="150000"/>
              </a:schemeClr>
            </a:duotone>
          </a:blip>
          <a:tile tx="0" ty="0" sx="65000" sy="65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627B35-83AB-433E-A703-F2F1807FA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AZZATE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ragioneria3</dc:creator>
  <cp:lastModifiedBy>Roberta Gurin</cp:lastModifiedBy>
  <cp:revision>7</cp:revision>
  <cp:lastPrinted>2024-05-13T09:04:00Z</cp:lastPrinted>
  <dcterms:created xsi:type="dcterms:W3CDTF">2024-05-13T09:08:00Z</dcterms:created>
  <dcterms:modified xsi:type="dcterms:W3CDTF">2024-07-23T16:24:00Z</dcterms:modified>
</cp:coreProperties>
</file>